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B1B5718" w:rsidR="0012209D" w:rsidRDefault="0012209D" w:rsidP="00536F36">
            <w:r>
              <w:t>&lt;</w:t>
            </w:r>
            <w:r w:rsidR="00536F36">
              <w:t>2</w:t>
            </w:r>
            <w:r w:rsidR="00D75DB9">
              <w:t>8</w:t>
            </w:r>
            <w:r w:rsidR="00536F36">
              <w:t>/</w:t>
            </w:r>
            <w:r w:rsidR="00901437">
              <w:t>7</w:t>
            </w:r>
            <w:r w:rsidR="00536F36">
              <w:t>/</w:t>
            </w:r>
            <w:r w:rsidR="00D75DB9">
              <w:t>2</w:t>
            </w:r>
            <w:r w:rsidR="00901437">
              <w:t>3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0EC0EFF" w:rsidR="0012209D" w:rsidRPr="00447FD8" w:rsidRDefault="00586200" w:rsidP="00321CAA">
            <w:pPr>
              <w:rPr>
                <w:b/>
                <w:bCs/>
              </w:rPr>
            </w:pPr>
            <w:r w:rsidRPr="00586200">
              <w:rPr>
                <w:b/>
                <w:bCs/>
              </w:rPr>
              <w:t>Consulting Engineer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1B080BA7" w:rsidR="0012209D" w:rsidRDefault="00586200" w:rsidP="00321CAA">
            <w:r>
              <w:t xml:space="preserve">ISVR Consulting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143AC8A" w:rsidR="00746AEB" w:rsidRDefault="00586200" w:rsidP="00321CAA">
            <w:r>
              <w:t>FEE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4C898C7D" w:rsidR="0012209D" w:rsidRDefault="001B5CEA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4EF0FDE" w:rsidR="0012209D" w:rsidRDefault="00FF246F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28391F2" w:rsidR="0012209D" w:rsidRDefault="00307E35" w:rsidP="00307E35">
            <w:r>
              <w:t>Enterprise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5A842A1" w:rsidR="0012209D" w:rsidRPr="005508A2" w:rsidRDefault="001B47F5" w:rsidP="001B47F5">
            <w:r>
              <w:t>Manager</w:t>
            </w:r>
            <w:r w:rsidR="00586200">
              <w:t xml:space="preserve"> of ISVR Consulting (</w:t>
            </w:r>
            <w:r>
              <w:t>6</w:t>
            </w:r>
            <w:r w:rsidR="00586200">
              <w:t>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FC599BB" w:rsidR="0012209D" w:rsidRPr="005508A2" w:rsidRDefault="00F21A15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2199E4E" w:rsidR="0012209D" w:rsidRPr="005508A2" w:rsidRDefault="00586200" w:rsidP="00321CAA">
            <w:r>
              <w:t>Office-based (</w:t>
            </w:r>
            <w:r w:rsidR="00F75249">
              <w:t>75</w:t>
            </w:r>
            <w:r>
              <w:t>%) and Non Office-based (</w:t>
            </w:r>
            <w:r w:rsidR="00F75249">
              <w:t>25</w:t>
            </w:r>
            <w:r>
              <w:t>%)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FFD0530" w:rsidR="0012209D" w:rsidRDefault="00307E35" w:rsidP="00CE4656">
            <w:r w:rsidRPr="00307E35">
              <w:t xml:space="preserve">To </w:t>
            </w:r>
            <w:r>
              <w:t>contribute to the successful delivery of</w:t>
            </w:r>
            <w:r w:rsidRPr="00307E35">
              <w:t xml:space="preserve"> </w:t>
            </w:r>
            <w:r w:rsidR="00586200">
              <w:t>consultancy</w:t>
            </w:r>
            <w:r>
              <w:t xml:space="preserve"> projects</w:t>
            </w:r>
            <w:r w:rsidRPr="00307E35">
              <w:t xml:space="preserve"> </w:t>
            </w:r>
            <w:r>
              <w:t xml:space="preserve">under the supervision of </w:t>
            </w:r>
            <w:r w:rsidR="00A761BC">
              <w:t>a</w:t>
            </w:r>
            <w:r>
              <w:t xml:space="preserve"> project leader</w:t>
            </w:r>
            <w:r w:rsidR="00A761BC">
              <w:t xml:space="preserve">. Consult effectively in own specialism and build client relationships. </w:t>
            </w:r>
            <w:r w:rsidRPr="00307E35">
              <w:t xml:space="preserve">To </w:t>
            </w:r>
            <w:r w:rsidR="00CE4656">
              <w:t>c</w:t>
            </w:r>
            <w:r w:rsidR="00A761BC">
              <w:t>ontributing</w:t>
            </w:r>
            <w:r w:rsidR="00A761BC" w:rsidRPr="00A761BC">
              <w:t xml:space="preserve"> to the effective management and administration of Enterprise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3"/>
        <w:gridCol w:w="1018"/>
      </w:tblGrid>
      <w:tr w:rsidR="0012209D" w14:paraId="15BF0890" w14:textId="77777777" w:rsidTr="00D75DB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15BF0892" w14:textId="1CDCC295" w:rsidR="0012209D" w:rsidRDefault="00307E35" w:rsidP="009B42CD">
            <w:r w:rsidRPr="00307E35">
              <w:t>Carry out Enterprise activities such as consulting, applied research, service provision, trials and testing or other evaluation work (</w:t>
            </w:r>
            <w:r w:rsidR="009B42CD">
              <w:t>normally</w:t>
            </w:r>
            <w:r w:rsidRPr="00307E35">
              <w:t xml:space="preserve"> under supervision of a project leader).</w:t>
            </w:r>
          </w:p>
        </w:tc>
        <w:tc>
          <w:tcPr>
            <w:tcW w:w="1018" w:type="dxa"/>
          </w:tcPr>
          <w:p w14:paraId="15BF0893" w14:textId="72779CA6" w:rsidR="0012209D" w:rsidRDefault="00D75DB9" w:rsidP="00321CAA">
            <w:r>
              <w:t>55</w:t>
            </w:r>
            <w:r w:rsidR="00343D93">
              <w:t xml:space="preserve"> %</w:t>
            </w:r>
          </w:p>
        </w:tc>
      </w:tr>
      <w:tr w:rsidR="0012209D" w14:paraId="15BF0898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15BF0896" w14:textId="2FEEE7A7" w:rsidR="0012209D" w:rsidRDefault="00307E35" w:rsidP="00321CAA">
            <w:r w:rsidRPr="00307E35">
              <w:t>Consult effectively on own specialism directly with clients or other stakeholders external to the University; develop an area of specialism; may be responsible for peer-to-peer relationship management with client staff.</w:t>
            </w:r>
          </w:p>
        </w:tc>
        <w:tc>
          <w:tcPr>
            <w:tcW w:w="1018" w:type="dxa"/>
          </w:tcPr>
          <w:p w14:paraId="15BF0897" w14:textId="31EA650A" w:rsidR="0012209D" w:rsidRDefault="009B42CD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15BF089A" w14:textId="043A55E2" w:rsidR="0012209D" w:rsidRDefault="00307E35" w:rsidP="00321CAA">
            <w:r w:rsidRPr="00307E35">
              <w:t>Propose specifications/solutions to meet client and other stakeholder need, including pricing considerations. This can include taking a lead on specific technical offerings within a facility for enterprise clients.</w:t>
            </w:r>
          </w:p>
        </w:tc>
        <w:tc>
          <w:tcPr>
            <w:tcW w:w="1018" w:type="dxa"/>
          </w:tcPr>
          <w:p w14:paraId="15BF089B" w14:textId="03BA3CE3" w:rsidR="0012209D" w:rsidRDefault="009B42CD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15BF089E" w14:textId="16D557D5" w:rsidR="0012209D" w:rsidRDefault="00307E35" w:rsidP="00321CAA">
            <w:r w:rsidRPr="00307E35">
              <w:t>Contribute to income generation e.g. through contribution to developing and winning enterprise projects.</w:t>
            </w:r>
          </w:p>
        </w:tc>
        <w:tc>
          <w:tcPr>
            <w:tcW w:w="1018" w:type="dxa"/>
          </w:tcPr>
          <w:p w14:paraId="15BF089F" w14:textId="1352EDD2" w:rsidR="0012209D" w:rsidRDefault="00C751D8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15BF08A2" w14:textId="13DE45C0" w:rsidR="0012209D" w:rsidRDefault="00307E35" w:rsidP="00307E35">
            <w:r>
              <w:t>W</w:t>
            </w:r>
            <w:r w:rsidRPr="00307E35">
              <w:t xml:space="preserve">rite and edit </w:t>
            </w:r>
            <w:r w:rsidR="009B42CD">
              <w:t xml:space="preserve">client confidential consultancy </w:t>
            </w:r>
            <w:r w:rsidRPr="00307E35">
              <w:t>reports.</w:t>
            </w:r>
          </w:p>
        </w:tc>
        <w:tc>
          <w:tcPr>
            <w:tcW w:w="1018" w:type="dxa"/>
          </w:tcPr>
          <w:p w14:paraId="15BF08A3" w14:textId="176BA229" w:rsidR="0012209D" w:rsidRDefault="009B42CD" w:rsidP="00321CAA">
            <w:r>
              <w:t>10</w:t>
            </w:r>
            <w:r w:rsidR="00343D93">
              <w:t xml:space="preserve"> %</w:t>
            </w:r>
          </w:p>
        </w:tc>
      </w:tr>
      <w:tr w:rsidR="00343D93" w14:paraId="79E5840B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4731DC94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5EE7F973" w14:textId="14E4D656" w:rsidR="00343D93" w:rsidRPr="00447FD8" w:rsidRDefault="00307E35" w:rsidP="00321CAA">
            <w:r>
              <w:t>P</w:t>
            </w:r>
            <w:r w:rsidRPr="00307E35">
              <w:t>articipate in impact and public engagement activities.</w:t>
            </w:r>
          </w:p>
        </w:tc>
        <w:tc>
          <w:tcPr>
            <w:tcW w:w="1018" w:type="dxa"/>
          </w:tcPr>
          <w:p w14:paraId="045988E6" w14:textId="01E282DE" w:rsidR="00343D93" w:rsidRDefault="009B42CD" w:rsidP="00321CAA">
            <w:r>
              <w:t>2</w:t>
            </w:r>
            <w:r w:rsidR="00343D93">
              <w:t xml:space="preserve"> %</w:t>
            </w:r>
          </w:p>
        </w:tc>
      </w:tr>
      <w:tr w:rsidR="00343D93" w14:paraId="02C51BD6" w14:textId="77777777" w:rsidTr="00D75DB9">
        <w:trPr>
          <w:cantSplit/>
        </w:trPr>
        <w:tc>
          <w:tcPr>
            <w:tcW w:w="596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AD954FC" w:rsidR="00343D93" w:rsidRDefault="009B42CD" w:rsidP="00321CAA">
            <w:r>
              <w:t>3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9DCEC7F" w14:textId="77777777" w:rsidR="009B42CD" w:rsidRPr="00D3565B" w:rsidRDefault="009B42CD" w:rsidP="009B42CD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D3565B">
              <w:rPr>
                <w:sz w:val="20"/>
              </w:rPr>
              <w:t>Unit manager:  Line manager</w:t>
            </w:r>
          </w:p>
          <w:p w14:paraId="1B699549" w14:textId="77777777" w:rsidR="009B42CD" w:rsidRPr="00D3565B" w:rsidRDefault="009B42CD" w:rsidP="009B42CD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D3565B">
              <w:rPr>
                <w:sz w:val="20"/>
              </w:rPr>
              <w:t>Other senior staff:  Supervision of specific consultancy projects</w:t>
            </w:r>
          </w:p>
          <w:p w14:paraId="76224098" w14:textId="77777777" w:rsidR="009B42CD" w:rsidRDefault="009B42CD" w:rsidP="009B42CD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D3565B">
              <w:rPr>
                <w:sz w:val="20"/>
              </w:rPr>
              <w:t>Other Unit staff, including technical and support staff:  As required for the smooth functioning of the Unit as a team</w:t>
            </w:r>
          </w:p>
          <w:p w14:paraId="15BF08B0" w14:textId="448D0AF0" w:rsidR="0012209D" w:rsidRPr="009B42CD" w:rsidRDefault="009B42CD" w:rsidP="009B42CD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9B42CD">
              <w:rPr>
                <w:sz w:val="20"/>
              </w:rPr>
              <w:t>External clients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5FA65B66" w14:textId="20D77D96" w:rsidR="009B42CD" w:rsidRDefault="009B42CD" w:rsidP="009B42C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rPr>
                <w:sz w:val="20"/>
              </w:rPr>
            </w:pPr>
            <w:r w:rsidRPr="009B42CD">
              <w:rPr>
                <w:sz w:val="20"/>
              </w:rPr>
              <w:t>Out of hours working is expected from time to time (offset by time in lieu)</w:t>
            </w:r>
          </w:p>
          <w:p w14:paraId="05F9B731" w14:textId="59484507" w:rsidR="005A6A98" w:rsidRPr="009B42CD" w:rsidRDefault="005A6A98" w:rsidP="009B42CD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Occasional off site working is required</w:t>
            </w:r>
          </w:p>
          <w:p w14:paraId="6DA5CA0A" w14:textId="0C0D40E2" w:rsidR="00343D93" w:rsidRDefault="009B42CD" w:rsidP="009B42CD">
            <w:pPr>
              <w:pStyle w:val="ListParagraph"/>
              <w:numPr>
                <w:ilvl w:val="0"/>
                <w:numId w:val="20"/>
              </w:numPr>
            </w:pPr>
            <w:r w:rsidRPr="009B42CD">
              <w:rPr>
                <w:sz w:val="20"/>
              </w:rPr>
              <w:t>Competing private consultancy work is not permitted.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9"/>
        <w:gridCol w:w="3337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07E35" w14:paraId="15BF08BF" w14:textId="77777777" w:rsidTr="00013C10">
        <w:tc>
          <w:tcPr>
            <w:tcW w:w="1617" w:type="dxa"/>
          </w:tcPr>
          <w:p w14:paraId="15BF08BB" w14:textId="21456655" w:rsidR="00307E35" w:rsidRPr="00FD5B0E" w:rsidRDefault="00307E35" w:rsidP="00307E35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F10DC2D" w14:textId="2942C7D1" w:rsidR="00307E35" w:rsidRDefault="00307E35" w:rsidP="00307E35">
            <w:pPr>
              <w:spacing w:after="90"/>
            </w:pPr>
            <w:r w:rsidRPr="009D6185">
              <w:t>PhD or equivalent professional qualifications and experience</w:t>
            </w:r>
            <w:r w:rsidR="00536F36">
              <w:t>.</w:t>
            </w:r>
          </w:p>
          <w:p w14:paraId="40DEAA6B" w14:textId="77777777" w:rsidR="00307E35" w:rsidRDefault="00307E35" w:rsidP="00307E35">
            <w:pPr>
              <w:spacing w:after="90"/>
            </w:pPr>
            <w:r w:rsidRPr="009D6185">
              <w:t xml:space="preserve">Detailed understanding and knowledge of </w:t>
            </w:r>
            <w:r w:rsidR="00FD76BD" w:rsidRPr="00FD76BD">
              <w:t>acoustics</w:t>
            </w:r>
            <w:r w:rsidR="00D75DB9">
              <w:t xml:space="preserve"> and vibration.</w:t>
            </w:r>
          </w:p>
          <w:p w14:paraId="15BF08BC" w14:textId="1CDDA769" w:rsidR="00D75DB9" w:rsidRDefault="00D75DB9" w:rsidP="00307E35">
            <w:pPr>
              <w:spacing w:after="90"/>
            </w:pPr>
            <w:r>
              <w:t>Detailed knowledge of noise and vibration sources on rail vehicles and their transmission mechanisms into the environment.</w:t>
            </w:r>
          </w:p>
        </w:tc>
        <w:tc>
          <w:tcPr>
            <w:tcW w:w="3402" w:type="dxa"/>
          </w:tcPr>
          <w:p w14:paraId="024A87CF" w14:textId="0048BBF6" w:rsidR="00A761BC" w:rsidRDefault="00A761BC" w:rsidP="00307E35">
            <w:pPr>
              <w:spacing w:after="90"/>
            </w:pPr>
            <w:r>
              <w:t>Membership of relevant professional body.</w:t>
            </w:r>
          </w:p>
          <w:p w14:paraId="57AD5BF2" w14:textId="77777777" w:rsidR="00FD76BD" w:rsidRDefault="00FD76BD" w:rsidP="00307E35">
            <w:pPr>
              <w:spacing w:after="90"/>
            </w:pPr>
          </w:p>
          <w:p w14:paraId="15BF08BD" w14:textId="7351945E" w:rsidR="00307E35" w:rsidRDefault="00307E35" w:rsidP="00D75DB9">
            <w:pPr>
              <w:spacing w:after="90"/>
            </w:pPr>
          </w:p>
        </w:tc>
        <w:tc>
          <w:tcPr>
            <w:tcW w:w="1330" w:type="dxa"/>
          </w:tcPr>
          <w:p w14:paraId="537BD2B8" w14:textId="77777777" w:rsidR="00307E35" w:rsidRDefault="007C2413" w:rsidP="00307E35">
            <w:pPr>
              <w:spacing w:after="90"/>
            </w:pPr>
            <w:r>
              <w:t>CV</w:t>
            </w:r>
          </w:p>
          <w:p w14:paraId="15BF08BE" w14:textId="1101064E" w:rsidR="007C2413" w:rsidRDefault="007C2413" w:rsidP="00307E35">
            <w:pPr>
              <w:spacing w:after="90"/>
            </w:pPr>
            <w:r>
              <w:t>Interview</w:t>
            </w:r>
          </w:p>
        </w:tc>
      </w:tr>
      <w:tr w:rsidR="00307E35" w14:paraId="15BF08C4" w14:textId="77777777" w:rsidTr="00013C10">
        <w:tc>
          <w:tcPr>
            <w:tcW w:w="1617" w:type="dxa"/>
          </w:tcPr>
          <w:p w14:paraId="15BF08C0" w14:textId="336690D4" w:rsidR="00307E35" w:rsidRPr="00FD5B0E" w:rsidRDefault="00307E35" w:rsidP="00307E3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1BB5BD6E" w:rsidR="00307E35" w:rsidRDefault="00307E35" w:rsidP="00FD76BD">
            <w:pPr>
              <w:spacing w:after="90"/>
            </w:pPr>
            <w:r>
              <w:t>Able to organise own consultancy</w:t>
            </w:r>
            <w:r w:rsidRPr="009D6185">
              <w:t xml:space="preserve"> activities to deadline and quality standards</w:t>
            </w:r>
          </w:p>
        </w:tc>
        <w:tc>
          <w:tcPr>
            <w:tcW w:w="3402" w:type="dxa"/>
          </w:tcPr>
          <w:p w14:paraId="15BF08C2" w14:textId="319A9713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3" w14:textId="23D2752B" w:rsidR="00307E35" w:rsidRDefault="007C2413" w:rsidP="00307E35">
            <w:pPr>
              <w:spacing w:after="90"/>
            </w:pPr>
            <w:r>
              <w:t>Interview</w:t>
            </w:r>
          </w:p>
        </w:tc>
      </w:tr>
      <w:tr w:rsidR="00307E35" w14:paraId="15BF08C9" w14:textId="77777777" w:rsidTr="00013C10">
        <w:tc>
          <w:tcPr>
            <w:tcW w:w="1617" w:type="dxa"/>
          </w:tcPr>
          <w:p w14:paraId="15BF08C5" w14:textId="1EC20CD1" w:rsidR="00307E35" w:rsidRPr="00FD5B0E" w:rsidRDefault="00307E35" w:rsidP="00307E3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F69CF32" w14:textId="77777777" w:rsidR="00307E35" w:rsidRDefault="00307E35" w:rsidP="00307E35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493EA72D" w:rsidR="00307E35" w:rsidRDefault="00307E35" w:rsidP="00307E35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8" w14:textId="3B17530D" w:rsidR="00307E35" w:rsidRDefault="007C2413" w:rsidP="00307E35">
            <w:pPr>
              <w:spacing w:after="90"/>
            </w:pPr>
            <w:r>
              <w:t>Interview</w:t>
            </w:r>
          </w:p>
        </w:tc>
      </w:tr>
      <w:tr w:rsidR="00307E35" w14:paraId="15BF08CE" w14:textId="77777777" w:rsidTr="00013C10">
        <w:tc>
          <w:tcPr>
            <w:tcW w:w="1617" w:type="dxa"/>
          </w:tcPr>
          <w:p w14:paraId="15BF08CA" w14:textId="63F21CD8" w:rsidR="00307E35" w:rsidRPr="00FD5B0E" w:rsidRDefault="00307E35" w:rsidP="00307E35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3A0467D" w14:textId="7C6371CE" w:rsidR="00307E35" w:rsidRDefault="00307E35" w:rsidP="00307E35">
            <w:pPr>
              <w:spacing w:after="90"/>
            </w:pPr>
            <w:r>
              <w:t>Able to supervise work of junior staff, delegating effectively</w:t>
            </w:r>
          </w:p>
          <w:p w14:paraId="36BCD46B" w14:textId="2630F25D" w:rsidR="00307E35" w:rsidRDefault="00307E35" w:rsidP="00307E35">
            <w:pPr>
              <w:spacing w:after="90"/>
            </w:pPr>
            <w:r>
              <w:t>Able to contribute to Unit management and administrative processes</w:t>
            </w:r>
          </w:p>
          <w:p w14:paraId="15BF08CB" w14:textId="052DF0C1" w:rsidR="00307E35" w:rsidRDefault="00307E35" w:rsidP="00307E3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FBF187A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D" w14:textId="6FBDBF71" w:rsidR="00307E35" w:rsidRDefault="007C2413" w:rsidP="00307E35">
            <w:pPr>
              <w:spacing w:after="90"/>
            </w:pPr>
            <w:r>
              <w:t>Interview</w:t>
            </w:r>
          </w:p>
        </w:tc>
      </w:tr>
      <w:tr w:rsidR="00307E35" w14:paraId="15BF08D3" w14:textId="77777777" w:rsidTr="00013C10">
        <w:tc>
          <w:tcPr>
            <w:tcW w:w="1617" w:type="dxa"/>
          </w:tcPr>
          <w:p w14:paraId="15BF08CF" w14:textId="4DC37F06" w:rsidR="00307E35" w:rsidRPr="00FD5B0E" w:rsidRDefault="00307E35" w:rsidP="00307E3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E79D475" w14:textId="5C16B0B9" w:rsidR="00307E35" w:rsidRDefault="00307E35" w:rsidP="00307E35">
            <w:pPr>
              <w:spacing w:after="90"/>
            </w:pPr>
            <w:r>
              <w:t>Communicate new and complex information effectively, both verbally and in writing,</w:t>
            </w:r>
            <w:r w:rsidR="00FD76BD">
              <w:t xml:space="preserve"> to customers.</w:t>
            </w:r>
            <w:r>
              <w:t xml:space="preserve"> </w:t>
            </w:r>
          </w:p>
          <w:p w14:paraId="1FD2265E" w14:textId="77777777" w:rsidR="00FD76BD" w:rsidRDefault="00FD76BD" w:rsidP="00FD76BD">
            <w:pPr>
              <w:spacing w:after="90"/>
            </w:pPr>
            <w:r>
              <w:t xml:space="preserve">Work proactively with colleagues in other work areas/institutions, contributing specialist knowledge to achieve outcomes </w:t>
            </w:r>
          </w:p>
          <w:p w14:paraId="15BF08D0" w14:textId="5FCB0289" w:rsidR="00307E35" w:rsidRDefault="00307E35" w:rsidP="00FD76BD">
            <w:pPr>
              <w:spacing w:after="90"/>
            </w:pPr>
          </w:p>
        </w:tc>
        <w:tc>
          <w:tcPr>
            <w:tcW w:w="3402" w:type="dxa"/>
          </w:tcPr>
          <w:p w14:paraId="653DB1A5" w14:textId="77777777" w:rsidR="00FD76BD" w:rsidRDefault="00FD76BD" w:rsidP="00FD76BD">
            <w:pPr>
              <w:spacing w:after="90"/>
            </w:pPr>
            <w:r>
              <w:t>Able to write up research results for publication in leading peer-viewed journals</w:t>
            </w:r>
          </w:p>
          <w:p w14:paraId="30B2BC2C" w14:textId="2466A330" w:rsidR="00FD76BD" w:rsidRDefault="00FD76BD" w:rsidP="00FD76BD">
            <w:pPr>
              <w:spacing w:after="90"/>
            </w:pPr>
            <w:r>
              <w:t>Able to present research results at group meetings and conferences</w:t>
            </w:r>
          </w:p>
          <w:p w14:paraId="15BF08D1" w14:textId="0A2D3E61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659F177A" w14:textId="77777777" w:rsidR="00307E35" w:rsidRDefault="007C2413" w:rsidP="00307E35">
            <w:pPr>
              <w:spacing w:after="90"/>
            </w:pPr>
            <w:r>
              <w:t>CV</w:t>
            </w:r>
          </w:p>
          <w:p w14:paraId="15BF08D2" w14:textId="4E32FE5C" w:rsidR="007C2413" w:rsidRDefault="007C2413" w:rsidP="00307E35">
            <w:pPr>
              <w:spacing w:after="90"/>
            </w:pPr>
            <w:r>
              <w:t>Interview</w:t>
            </w:r>
          </w:p>
        </w:tc>
      </w:tr>
      <w:tr w:rsidR="00307E35" w14:paraId="15BF08D8" w14:textId="77777777" w:rsidTr="00013C10">
        <w:tc>
          <w:tcPr>
            <w:tcW w:w="1617" w:type="dxa"/>
          </w:tcPr>
          <w:p w14:paraId="15BF08D4" w14:textId="1D948B14" w:rsidR="00307E35" w:rsidRPr="00FD5B0E" w:rsidRDefault="00307E35" w:rsidP="00307E35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98338F6" w14:textId="77777777" w:rsidR="00307E35" w:rsidRDefault="00307E35" w:rsidP="00307E35">
            <w:pPr>
              <w:spacing w:after="90"/>
            </w:pPr>
            <w:r>
              <w:t>Understanding of relevant Health &amp; Safety issues</w:t>
            </w:r>
          </w:p>
          <w:p w14:paraId="15BF08D5" w14:textId="4A2D04B7" w:rsidR="00307E35" w:rsidRDefault="00307E35" w:rsidP="00307E3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7" w14:textId="66ABC768" w:rsidR="00307E35" w:rsidRDefault="007C2413" w:rsidP="00307E35">
            <w:pPr>
              <w:spacing w:after="90"/>
            </w:pPr>
            <w:r>
              <w:t>Interview</w:t>
            </w:r>
          </w:p>
        </w:tc>
      </w:tr>
      <w:tr w:rsidR="00307E35" w14:paraId="15BF08DD" w14:textId="77777777" w:rsidTr="00013C10">
        <w:tc>
          <w:tcPr>
            <w:tcW w:w="1617" w:type="dxa"/>
          </w:tcPr>
          <w:p w14:paraId="15BF08D9" w14:textId="77777777" w:rsidR="00307E35" w:rsidRPr="00FD5B0E" w:rsidRDefault="00307E35" w:rsidP="00307E35">
            <w:r w:rsidRPr="00FD5B0E">
              <w:t>Special requirements</w:t>
            </w:r>
          </w:p>
        </w:tc>
        <w:tc>
          <w:tcPr>
            <w:tcW w:w="3402" w:type="dxa"/>
          </w:tcPr>
          <w:p w14:paraId="6D869B78" w14:textId="56414CEF" w:rsidR="00FD76BD" w:rsidRDefault="00FD76BD" w:rsidP="00307E35">
            <w:pPr>
              <w:spacing w:after="90"/>
            </w:pPr>
            <w:r>
              <w:t>Able to work occasional unsocial hours, including off-site.</w:t>
            </w:r>
          </w:p>
          <w:p w14:paraId="15BF08DA" w14:textId="3C1AC808" w:rsidR="00307E35" w:rsidRDefault="00307E35" w:rsidP="00307E35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307E35" w:rsidRDefault="00307E35" w:rsidP="00307E35">
            <w:pPr>
              <w:spacing w:after="90"/>
            </w:pPr>
          </w:p>
        </w:tc>
      </w:tr>
    </w:tbl>
    <w:p w14:paraId="15BF08DF" w14:textId="60074ADF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1985575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465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0C9D0B64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AEF0171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E1749A2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E708FD0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F49EEBC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25889C6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09AA44DA" w:rsidR="0012209D" w:rsidRPr="009957AE" w:rsidRDefault="00CE4656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D3565B">
              <w:rPr>
                <w:rFonts w:ascii="Verdana" w:hAnsi="Verdana"/>
                <w:sz w:val="20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6B42" w14:textId="77777777" w:rsidR="006A0D12" w:rsidRDefault="006A0D12">
      <w:r>
        <w:separator/>
      </w:r>
    </w:p>
    <w:p w14:paraId="326F7E3F" w14:textId="77777777" w:rsidR="006A0D12" w:rsidRDefault="006A0D12"/>
  </w:endnote>
  <w:endnote w:type="continuationSeparator" w:id="0">
    <w:p w14:paraId="2AF33695" w14:textId="77777777" w:rsidR="006A0D12" w:rsidRDefault="006A0D12">
      <w:r>
        <w:continuationSeparator/>
      </w:r>
    </w:p>
    <w:p w14:paraId="4F81C107" w14:textId="77777777" w:rsidR="006A0D12" w:rsidRDefault="006A0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692D092" w:rsidR="00062768" w:rsidRDefault="00F75249" w:rsidP="00B51507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4 – </w:t>
    </w:r>
    <w:r w:rsidR="00B51507">
      <w:t>Enterprise</w:t>
    </w:r>
    <w:r w:rsidR="00746AEB">
      <w:t xml:space="preserve"> Pathway – </w:t>
    </w:r>
    <w:r w:rsidR="00B51507">
      <w:t>Enterprise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21A1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43C4" w14:textId="77777777" w:rsidR="006A0D12" w:rsidRDefault="006A0D12">
      <w:r>
        <w:separator/>
      </w:r>
    </w:p>
    <w:p w14:paraId="7E697F54" w14:textId="77777777" w:rsidR="006A0D12" w:rsidRDefault="006A0D12"/>
  </w:footnote>
  <w:footnote w:type="continuationSeparator" w:id="0">
    <w:p w14:paraId="25ED86F8" w14:textId="77777777" w:rsidR="006A0D12" w:rsidRDefault="006A0D12">
      <w:r>
        <w:continuationSeparator/>
      </w:r>
    </w:p>
    <w:p w14:paraId="245FA679" w14:textId="77777777" w:rsidR="006A0D12" w:rsidRDefault="006A0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A36D7"/>
    <w:multiLevelType w:val="hybridMultilevel"/>
    <w:tmpl w:val="43C6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63012008">
    <w:abstractNumId w:val="19"/>
  </w:num>
  <w:num w:numId="2" w16cid:durableId="1096555666">
    <w:abstractNumId w:val="0"/>
  </w:num>
  <w:num w:numId="3" w16cid:durableId="1027755897">
    <w:abstractNumId w:val="15"/>
  </w:num>
  <w:num w:numId="4" w16cid:durableId="972562109">
    <w:abstractNumId w:val="10"/>
  </w:num>
  <w:num w:numId="5" w16cid:durableId="357968831">
    <w:abstractNumId w:val="11"/>
  </w:num>
  <w:num w:numId="6" w16cid:durableId="922494390">
    <w:abstractNumId w:val="8"/>
  </w:num>
  <w:num w:numId="7" w16cid:durableId="2129003336">
    <w:abstractNumId w:val="3"/>
  </w:num>
  <w:num w:numId="8" w16cid:durableId="901604026">
    <w:abstractNumId w:val="6"/>
  </w:num>
  <w:num w:numId="9" w16cid:durableId="126969501">
    <w:abstractNumId w:val="1"/>
  </w:num>
  <w:num w:numId="10" w16cid:durableId="974481400">
    <w:abstractNumId w:val="9"/>
  </w:num>
  <w:num w:numId="11" w16cid:durableId="1198809211">
    <w:abstractNumId w:val="4"/>
  </w:num>
  <w:num w:numId="12" w16cid:durableId="965308540">
    <w:abstractNumId w:val="16"/>
  </w:num>
  <w:num w:numId="13" w16cid:durableId="1031108885">
    <w:abstractNumId w:val="17"/>
  </w:num>
  <w:num w:numId="14" w16cid:durableId="1536389671">
    <w:abstractNumId w:val="7"/>
  </w:num>
  <w:num w:numId="15" w16cid:durableId="496383408">
    <w:abstractNumId w:val="2"/>
  </w:num>
  <w:num w:numId="16" w16cid:durableId="1903129253">
    <w:abstractNumId w:val="13"/>
  </w:num>
  <w:num w:numId="17" w16cid:durableId="1925841465">
    <w:abstractNumId w:val="14"/>
  </w:num>
  <w:num w:numId="18" w16cid:durableId="1784494416">
    <w:abstractNumId w:val="18"/>
  </w:num>
  <w:num w:numId="19" w16cid:durableId="215164750">
    <w:abstractNumId w:val="5"/>
  </w:num>
  <w:num w:numId="20" w16cid:durableId="164819737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1794"/>
    <w:rsid w:val="00102BCB"/>
    <w:rsid w:val="0012209D"/>
    <w:rsid w:val="001532E2"/>
    <w:rsid w:val="00156F2F"/>
    <w:rsid w:val="0018144C"/>
    <w:rsid w:val="001840EA"/>
    <w:rsid w:val="001B47F5"/>
    <w:rsid w:val="001B5C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7E35"/>
    <w:rsid w:val="00313CC8"/>
    <w:rsid w:val="003178D9"/>
    <w:rsid w:val="0034151E"/>
    <w:rsid w:val="00343D93"/>
    <w:rsid w:val="00364B2C"/>
    <w:rsid w:val="003701F7"/>
    <w:rsid w:val="003B0262"/>
    <w:rsid w:val="003B7540"/>
    <w:rsid w:val="00425325"/>
    <w:rsid w:val="004263FE"/>
    <w:rsid w:val="00427F51"/>
    <w:rsid w:val="00463797"/>
    <w:rsid w:val="00474D00"/>
    <w:rsid w:val="004B2A50"/>
    <w:rsid w:val="004C0252"/>
    <w:rsid w:val="0051744C"/>
    <w:rsid w:val="00524005"/>
    <w:rsid w:val="00536F36"/>
    <w:rsid w:val="00541CE0"/>
    <w:rsid w:val="005534E1"/>
    <w:rsid w:val="00573487"/>
    <w:rsid w:val="00580CBF"/>
    <w:rsid w:val="00586200"/>
    <w:rsid w:val="005907B3"/>
    <w:rsid w:val="005949FA"/>
    <w:rsid w:val="005A6A98"/>
    <w:rsid w:val="005D44D1"/>
    <w:rsid w:val="00605AEA"/>
    <w:rsid w:val="006249FD"/>
    <w:rsid w:val="00651280"/>
    <w:rsid w:val="00670212"/>
    <w:rsid w:val="00680547"/>
    <w:rsid w:val="00695D76"/>
    <w:rsid w:val="006A0D12"/>
    <w:rsid w:val="006B1AF6"/>
    <w:rsid w:val="006F44EB"/>
    <w:rsid w:val="00702D64"/>
    <w:rsid w:val="0070376B"/>
    <w:rsid w:val="00743CE8"/>
    <w:rsid w:val="00746AEB"/>
    <w:rsid w:val="00761108"/>
    <w:rsid w:val="0079197B"/>
    <w:rsid w:val="00791A2A"/>
    <w:rsid w:val="007C22CC"/>
    <w:rsid w:val="007C2413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1437"/>
    <w:rsid w:val="009064A9"/>
    <w:rsid w:val="00945F4B"/>
    <w:rsid w:val="009464AF"/>
    <w:rsid w:val="00954E47"/>
    <w:rsid w:val="00965BFB"/>
    <w:rsid w:val="00970E28"/>
    <w:rsid w:val="0098120F"/>
    <w:rsid w:val="00996476"/>
    <w:rsid w:val="009B42CD"/>
    <w:rsid w:val="00A021B7"/>
    <w:rsid w:val="00A131D9"/>
    <w:rsid w:val="00A14888"/>
    <w:rsid w:val="00A23226"/>
    <w:rsid w:val="00A34296"/>
    <w:rsid w:val="00A521A9"/>
    <w:rsid w:val="00A761BC"/>
    <w:rsid w:val="00A925C0"/>
    <w:rsid w:val="00AA3CB5"/>
    <w:rsid w:val="00AC2B17"/>
    <w:rsid w:val="00AE1CA0"/>
    <w:rsid w:val="00AE39DC"/>
    <w:rsid w:val="00AE4DC4"/>
    <w:rsid w:val="00B430BB"/>
    <w:rsid w:val="00B51507"/>
    <w:rsid w:val="00B84C12"/>
    <w:rsid w:val="00B903D5"/>
    <w:rsid w:val="00BB4A42"/>
    <w:rsid w:val="00BB7845"/>
    <w:rsid w:val="00BF1CC6"/>
    <w:rsid w:val="00BF4F9D"/>
    <w:rsid w:val="00C751D8"/>
    <w:rsid w:val="00C907D0"/>
    <w:rsid w:val="00CB1F23"/>
    <w:rsid w:val="00CD04F0"/>
    <w:rsid w:val="00CE3A26"/>
    <w:rsid w:val="00CE4656"/>
    <w:rsid w:val="00D16D9D"/>
    <w:rsid w:val="00D3349E"/>
    <w:rsid w:val="00D54AA2"/>
    <w:rsid w:val="00D55315"/>
    <w:rsid w:val="00D5587F"/>
    <w:rsid w:val="00D65B56"/>
    <w:rsid w:val="00D67D41"/>
    <w:rsid w:val="00D75DB9"/>
    <w:rsid w:val="00DE553C"/>
    <w:rsid w:val="00E25775"/>
    <w:rsid w:val="00E264FD"/>
    <w:rsid w:val="00E363B8"/>
    <w:rsid w:val="00E63AC1"/>
    <w:rsid w:val="00E96015"/>
    <w:rsid w:val="00EB11DB"/>
    <w:rsid w:val="00ED2E52"/>
    <w:rsid w:val="00F01EA0"/>
    <w:rsid w:val="00F21A15"/>
    <w:rsid w:val="00F378D2"/>
    <w:rsid w:val="00F75249"/>
    <w:rsid w:val="00F84583"/>
    <w:rsid w:val="00F85DED"/>
    <w:rsid w:val="00F90F90"/>
    <w:rsid w:val="00FB7297"/>
    <w:rsid w:val="00FC2ADA"/>
    <w:rsid w:val="00FD76B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41D18FD-052B-4BE1-93A3-C9B44770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718024-264C-429D-BC5F-AF54CB341E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F3282-05D8-4906-8BFB-2559D5C6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Fellow</vt:lpstr>
    </vt:vector>
  </TitlesOfParts>
  <Company>Southampton University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Fellow</dc:title>
  <dc:creator>Newton-Woof K.</dc:creator>
  <cp:keywords>V0.1</cp:keywords>
  <cp:lastModifiedBy>Simon Roberts</cp:lastModifiedBy>
  <cp:revision>3</cp:revision>
  <cp:lastPrinted>2008-01-14T17:11:00Z</cp:lastPrinted>
  <dcterms:created xsi:type="dcterms:W3CDTF">2023-08-11T11:08:00Z</dcterms:created>
  <dcterms:modified xsi:type="dcterms:W3CDTF">2023-08-11T11:09:00Z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AdHocReviewCycleID">
    <vt:i4>599097078</vt:i4>
  </property>
  <property fmtid="{D5CDD505-2E9C-101B-9397-08002B2CF9AE}" pid="4" name="_NewReviewCycle">
    <vt:lpwstr/>
  </property>
  <property fmtid="{D5CDD505-2E9C-101B-9397-08002B2CF9AE}" pid="5" name="_EmailSubject">
    <vt:lpwstr>0588-16 - Graduate Consultant / Consulting Engineer</vt:lpwstr>
  </property>
  <property fmtid="{D5CDD505-2E9C-101B-9397-08002B2CF9AE}" pid="6" name="_AuthorEmail">
    <vt:lpwstr>K.Proctor@soton.ac.uk</vt:lpwstr>
  </property>
  <property fmtid="{D5CDD505-2E9C-101B-9397-08002B2CF9AE}" pid="7" name="_AuthorEmailDisplayName">
    <vt:lpwstr>Proctor K.</vt:lpwstr>
  </property>
  <property fmtid="{D5CDD505-2E9C-101B-9397-08002B2CF9AE}" pid="8" name="_ReviewingToolsShownOnce">
    <vt:lpwstr/>
  </property>
</Properties>
</file>